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7"/>
        <w:gridCol w:w="1652"/>
        <w:gridCol w:w="2253"/>
        <w:gridCol w:w="5965"/>
        <w:gridCol w:w="3187"/>
      </w:tblGrid>
      <w:tr w:rsidR="00B04B29" w:rsidRPr="00E16259" w14:paraId="298C84E7" w14:textId="77777777" w:rsidTr="654B62F2">
        <w:trPr>
          <w:trHeight w:val="425"/>
        </w:trPr>
        <w:tc>
          <w:tcPr>
            <w:tcW w:w="784" w:type="dxa"/>
          </w:tcPr>
          <w:p w14:paraId="178BC78E" w14:textId="3FA9F517" w:rsidR="00B04B29" w:rsidRPr="00E16259" w:rsidRDefault="00B04B29" w:rsidP="000F12B9">
            <w:pPr>
              <w:rPr>
                <w:rFonts w:cstheme="minorHAnsi"/>
              </w:rPr>
            </w:pPr>
            <w:r w:rsidRPr="00E16259">
              <w:rPr>
                <w:rFonts w:cstheme="minorHAnsi"/>
              </w:rPr>
              <w:t>Lp.</w:t>
            </w:r>
          </w:p>
        </w:tc>
        <w:tc>
          <w:tcPr>
            <w:tcW w:w="1087" w:type="dxa"/>
          </w:tcPr>
          <w:p w14:paraId="687355F2" w14:textId="3E857F06" w:rsidR="00B04B29" w:rsidRPr="00E16259" w:rsidRDefault="00B04B29" w:rsidP="00E8209D">
            <w:pPr>
              <w:rPr>
                <w:rFonts w:cstheme="minorHAnsi"/>
              </w:rPr>
            </w:pPr>
            <w:r w:rsidRPr="00E16259">
              <w:rPr>
                <w:rFonts w:cstheme="minorHAnsi"/>
              </w:rPr>
              <w:t>Instytucja</w:t>
            </w:r>
          </w:p>
        </w:tc>
        <w:tc>
          <w:tcPr>
            <w:tcW w:w="2385" w:type="dxa"/>
          </w:tcPr>
          <w:p w14:paraId="4A7D16E8" w14:textId="54151516" w:rsidR="00B04B29" w:rsidRPr="00E16259" w:rsidRDefault="00B04B29" w:rsidP="00E8209D">
            <w:pPr>
              <w:rPr>
                <w:rFonts w:cstheme="minorHAnsi"/>
              </w:rPr>
            </w:pPr>
            <w:r w:rsidRPr="00E16259">
              <w:rPr>
                <w:rFonts w:cstheme="minorHAnsi"/>
              </w:rPr>
              <w:t>Jednostka redakcyjna</w:t>
            </w:r>
          </w:p>
        </w:tc>
        <w:tc>
          <w:tcPr>
            <w:tcW w:w="6424" w:type="dxa"/>
          </w:tcPr>
          <w:p w14:paraId="2BB50A12" w14:textId="2432C35A" w:rsidR="00B04B29" w:rsidRPr="00E16259" w:rsidRDefault="00B04B29" w:rsidP="00E8209D">
            <w:pPr>
              <w:rPr>
                <w:rFonts w:cstheme="minorHAnsi"/>
              </w:rPr>
            </w:pPr>
            <w:r w:rsidRPr="00E16259">
              <w:rPr>
                <w:rFonts w:cstheme="minorHAnsi"/>
              </w:rPr>
              <w:t>Treść uwagi</w:t>
            </w:r>
          </w:p>
        </w:tc>
        <w:tc>
          <w:tcPr>
            <w:tcW w:w="3314" w:type="dxa"/>
          </w:tcPr>
          <w:p w14:paraId="5B501041" w14:textId="1F71ECB4" w:rsidR="00B04B29" w:rsidRPr="00E16259" w:rsidRDefault="00B04B29" w:rsidP="00E8209D">
            <w:pPr>
              <w:rPr>
                <w:rFonts w:cstheme="minorHAnsi"/>
              </w:rPr>
            </w:pPr>
            <w:r w:rsidRPr="00E16259">
              <w:rPr>
                <w:rFonts w:cstheme="minorHAnsi"/>
              </w:rPr>
              <w:t>Odniesienie</w:t>
            </w:r>
          </w:p>
        </w:tc>
      </w:tr>
      <w:tr w:rsidR="00580E8E" w:rsidRPr="00E16259" w14:paraId="22F15013" w14:textId="77777777" w:rsidTr="654B62F2">
        <w:trPr>
          <w:trHeight w:val="425"/>
        </w:trPr>
        <w:tc>
          <w:tcPr>
            <w:tcW w:w="784" w:type="dxa"/>
          </w:tcPr>
          <w:p w14:paraId="09809F57" w14:textId="560564BA" w:rsidR="00580E8E" w:rsidRPr="00580E8E" w:rsidRDefault="00580E8E" w:rsidP="00580E8E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</w:rPr>
            </w:pPr>
          </w:p>
          <w:p w14:paraId="5283EF8A" w14:textId="77777777" w:rsidR="00580E8E" w:rsidRDefault="00580E8E" w:rsidP="000F12B9">
            <w:pPr>
              <w:rPr>
                <w:rFonts w:cstheme="minorHAnsi"/>
              </w:rPr>
            </w:pPr>
          </w:p>
          <w:p w14:paraId="7E80B7A4" w14:textId="266D8494" w:rsidR="00580E8E" w:rsidRPr="00E16259" w:rsidRDefault="00580E8E" w:rsidP="000F12B9">
            <w:pPr>
              <w:rPr>
                <w:rFonts w:cstheme="minorHAnsi"/>
              </w:rPr>
            </w:pPr>
          </w:p>
        </w:tc>
        <w:tc>
          <w:tcPr>
            <w:tcW w:w="1087" w:type="dxa"/>
          </w:tcPr>
          <w:p w14:paraId="2B12008C" w14:textId="668DFC16" w:rsidR="00580E8E" w:rsidRPr="00E16259" w:rsidRDefault="00AF1284" w:rsidP="00E8209D">
            <w:pPr>
              <w:rPr>
                <w:rFonts w:cstheme="minorHAnsi"/>
              </w:rPr>
            </w:pPr>
            <w:r>
              <w:rPr>
                <w:rFonts w:cstheme="minorHAnsi"/>
              </w:rPr>
              <w:t>RCL</w:t>
            </w:r>
          </w:p>
        </w:tc>
        <w:tc>
          <w:tcPr>
            <w:tcW w:w="2385" w:type="dxa"/>
          </w:tcPr>
          <w:p w14:paraId="6CABB8F9" w14:textId="428623C2" w:rsidR="00580E8E" w:rsidRPr="00E16259" w:rsidRDefault="00580E8E" w:rsidP="00E8209D">
            <w:pPr>
              <w:rPr>
                <w:rFonts w:cstheme="minorHAnsi"/>
              </w:rPr>
            </w:pPr>
            <w:r>
              <w:rPr>
                <w:rFonts w:cstheme="minorHAnsi"/>
              </w:rPr>
              <w:t>Uwaga ogólna</w:t>
            </w:r>
          </w:p>
        </w:tc>
        <w:tc>
          <w:tcPr>
            <w:tcW w:w="6424" w:type="dxa"/>
          </w:tcPr>
          <w:p w14:paraId="0F104C6B" w14:textId="69F44ED0" w:rsidR="00AF1284" w:rsidRPr="00AF1284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>1. Mając na uwadze, że przedmiotem przekazanego do uzgodnień projektu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rozporządzenia jest nowelizacja rozporządzenia zmieniającego w zakresie jego przepisu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przejściowego, zaznaczenia na wstępie wymaga, że istotą przepisu przejściowego jest</w:t>
            </w:r>
            <w:r w:rsidR="0070329D"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rozstrzygnięcie wpływu nowego albo znowelizowanego aktu na stosunki powstałe pod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działaniem aktu dotychczasowego. W przedmiotowej sprawie rozstrzygnięcie kwestii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przejściowych nastąpiło przepisem § 2 rozporządzenia Ministra Rozwoju i Technologii z dnia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8 grudnia 2023 r. zmieniającego rozporządzenie w sprawie udzielania pomocy na rozwój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infrastruktury szerokopasmowej w ramach Krajowego Planu Odbudowy i Zwiększania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Odporności (Dz. U. poz. 2771). Wskazany przepis przejściowy wszedł w życie z</w:t>
            </w:r>
            <w:r w:rsidR="00D13018">
              <w:rPr>
                <w:rFonts w:cstheme="minorHAnsi"/>
              </w:rPr>
              <w:t> </w:t>
            </w:r>
            <w:r w:rsidRPr="00AF1284">
              <w:rPr>
                <w:rFonts w:cstheme="minorHAnsi"/>
              </w:rPr>
              <w:t>dniem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30 grudnia 2023 r. i ze względu na swój charakter co do zasady nie powinien być przedmiotem</w:t>
            </w:r>
            <w:r w:rsidR="00206184"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dalszych nowelizacji.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Nowelizowana projektem norma przejściowa odnosi się do brzmienia § 5 ust. 2 pkt 3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 xml:space="preserve">rozporządzenia Ministra Cyfryzacji </w:t>
            </w:r>
            <w:r w:rsidR="006A498B">
              <w:rPr>
                <w:rFonts w:cstheme="minorHAnsi"/>
              </w:rPr>
              <w:br/>
            </w:r>
            <w:r w:rsidRPr="00AF1284">
              <w:rPr>
                <w:rFonts w:cstheme="minorHAnsi"/>
              </w:rPr>
              <w:t>z dnia 7 grudnia 2022 r. w sprawie udzielania pomocy na</w:t>
            </w:r>
            <w:r w:rsidR="00206184"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rozwój sieci szerokopasmowych w ramach Krajowego Planu Odbudowy i Zwiększania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Odporności (Dz. U. poz. 2604), zwanego dalej „rozporządzeniem pomocowym” zgodnie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z którym „Pomoc może być udzielona przedsiębiorcy telekomunikacyjnemu, który złożył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wniosek o objęcie przedsięwzięcia wsparciem przed rozpoczęciem prac (…) i spełnia łącznie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następujące warunki:” wśród, których wymieniony jest pkt 3 w brzmieniu obowiązującym od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dnia 30 grudnia 2023 r.: „zobowiązał się do zapewnienia dostępu hurtowego na równych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i niedyskryminujących warunkach zgodnie z art. 52 ust. 8 rozporządzenia nr 651/2014, po cenie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ustalonej zgodnie z art. 52 ust. 9 tego rozporządzenia”. Zgodnie z § 4 rozporządzenia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pomocowego pomoc udzielana jest przez Centrum Projektów Polska Cyfrowa w formie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 xml:space="preserve">bezzwrotnego wsparcia finansowego </w:t>
            </w:r>
            <w:r w:rsidRPr="00AF1284">
              <w:rPr>
                <w:rFonts w:cstheme="minorHAnsi"/>
              </w:rPr>
              <w:lastRenderedPageBreak/>
              <w:t>przeznaczonego na pokrycie części lub całości wydatków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związanych z realizacją przedsięwzięć co następuje na podstawie umowy o objęcie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przedsięwzięcia wsparciem.</w:t>
            </w:r>
          </w:p>
          <w:p w14:paraId="273EE772" w14:textId="45D52317" w:rsidR="00580E8E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>W związku z powyższym dla oceny projektowanego, de facto retroaktywnego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 xml:space="preserve">rozwiązania, wyjaśnienia wymaga czy </w:t>
            </w:r>
            <w:r>
              <w:rPr>
                <w:rFonts w:cstheme="minorHAnsi"/>
              </w:rPr>
              <w:t xml:space="preserve"> p</w:t>
            </w:r>
            <w:r w:rsidRPr="00AF1284">
              <w:rPr>
                <w:rFonts w:cstheme="minorHAnsi"/>
              </w:rPr>
              <w:t>rzedmiotowe zobowiązania (oświadczenia) zostały już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złożone i czy w związku z tym umowy o objęcie przedsięwzięcia wsparciem będą wymagały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 xml:space="preserve">wprowadzenia zmian (jeżeli tak to </w:t>
            </w:r>
            <w:r w:rsidR="006A498B">
              <w:rPr>
                <w:rFonts w:cstheme="minorHAnsi"/>
              </w:rPr>
              <w:br/>
            </w:r>
            <w:r w:rsidRPr="00AF1284">
              <w:rPr>
                <w:rFonts w:cstheme="minorHAnsi"/>
              </w:rPr>
              <w:t>w jakim trybie) oraz jednoznaczne określenie czy zmiany te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będą dla adresatów norm korzystniejsze, a tym samym czy zasady demokratycznego państwa</w:t>
            </w:r>
            <w:r w:rsidR="00206184"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prawnego nie stoją na przeszkodzie ich wejściu w życie.</w:t>
            </w:r>
          </w:p>
          <w:p w14:paraId="2A8CC7DD" w14:textId="665E2C44" w:rsidR="00AF1284" w:rsidRPr="00AF1284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>2. Ponadto zważywszy na fakt, że projektowany przepis, jak się wydaje, dotyczy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nałożenia na podmioty, które zawarły umowy przed dniem 30 grudnia 2023 r., nowego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 xml:space="preserve">zobowiązania (na skutek zmian rozporządzenia Komisji (UE) nr 651/2014 z dnia </w:t>
            </w:r>
            <w:r w:rsidR="006A498B">
              <w:rPr>
                <w:rFonts w:cstheme="minorHAnsi"/>
              </w:rPr>
              <w:br/>
            </w:r>
            <w:r w:rsidRPr="00AF1284">
              <w:rPr>
                <w:rFonts w:cstheme="minorHAnsi"/>
              </w:rPr>
              <w:t>17 czerwca</w:t>
            </w:r>
            <w:r w:rsidR="00206184"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2014 r. uznającego niektóre rodzaje pomocy za zgodne z rynkiem wewnętrznym w zastosowaniu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art. 107 i 108 Traktatu, Dz. Urz. UE L 187 z 26.06.2014, str. 1), wątpliwości budzi kwestia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wyznaczonego przez projektodawcę terminu wejścia w życie projektowanej regulacji z mocą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wsteczną od dnia30 grudnia 2023 r. Czynność, do której zobowiązuje się stronę umowy, z racji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swojego charakteru nie może być bowiem wykonana z mocą wsteczną. Zobowiązanie o nowej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treści może zostać fizycznie złożone dopiero po wejściu w życie rozporządzenia zmieniającego.</w:t>
            </w:r>
          </w:p>
          <w:p w14:paraId="12E4188E" w14:textId="318A3D2A" w:rsidR="00AF1284" w:rsidRPr="00E16259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>Proponuje się zatem ponowne rozważenie kwestii brzmienia przepisu końcowego, wskazując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jednocześnie, że ostateczną decyzję co do kształtu regulacji ponosi w tym przypadku, jako</w:t>
            </w:r>
            <w:r>
              <w:rPr>
                <w:rFonts w:cstheme="minorHAnsi"/>
              </w:rPr>
              <w:t xml:space="preserve"> </w:t>
            </w:r>
            <w:r w:rsidRPr="00AF1284">
              <w:rPr>
                <w:rFonts w:cstheme="minorHAnsi"/>
              </w:rPr>
              <w:t>organ właściwy, minister właściwy do spraw informatyzacji</w:t>
            </w:r>
          </w:p>
        </w:tc>
        <w:tc>
          <w:tcPr>
            <w:tcW w:w="3314" w:type="dxa"/>
          </w:tcPr>
          <w:p w14:paraId="41879B03" w14:textId="77777777" w:rsidR="00580E8E" w:rsidRDefault="00AF1284" w:rsidP="00E8209D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Uwaga uwzględniona</w:t>
            </w:r>
          </w:p>
          <w:p w14:paraId="1C773F2E" w14:textId="77777777" w:rsidR="00AF1284" w:rsidRDefault="00AF1284" w:rsidP="00E8209D">
            <w:pPr>
              <w:rPr>
                <w:rFonts w:cstheme="minorHAnsi"/>
                <w:b/>
                <w:bCs/>
              </w:rPr>
            </w:pPr>
          </w:p>
          <w:p w14:paraId="538EA8DF" w14:textId="2C94B5D3" w:rsidR="00AF1284" w:rsidRPr="00AF1284" w:rsidRDefault="00AF1284" w:rsidP="00E8209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Uzasadnienie projektu zostało uzupełnione zgodnie </w:t>
            </w:r>
            <w:r w:rsidR="006A498B">
              <w:rPr>
                <w:rFonts w:cstheme="minorHAnsi"/>
              </w:rPr>
              <w:br/>
            </w:r>
            <w:r>
              <w:rPr>
                <w:rFonts w:cstheme="minorHAnsi"/>
              </w:rPr>
              <w:t xml:space="preserve">z kierunkiem wskazanym </w:t>
            </w:r>
            <w:r w:rsidR="006A498B">
              <w:rPr>
                <w:rFonts w:cstheme="minorHAnsi"/>
              </w:rPr>
              <w:br/>
            </w:r>
            <w:r>
              <w:rPr>
                <w:rFonts w:cstheme="minorHAnsi"/>
              </w:rPr>
              <w:t>w uwa</w:t>
            </w:r>
            <w:r w:rsidR="00206184">
              <w:rPr>
                <w:rFonts w:cstheme="minorHAnsi"/>
              </w:rPr>
              <w:t>gach.</w:t>
            </w:r>
          </w:p>
        </w:tc>
      </w:tr>
      <w:tr w:rsidR="00580E8E" w:rsidRPr="00E16259" w14:paraId="2C8245EA" w14:textId="77777777" w:rsidTr="654B62F2">
        <w:trPr>
          <w:trHeight w:val="425"/>
        </w:trPr>
        <w:tc>
          <w:tcPr>
            <w:tcW w:w="784" w:type="dxa"/>
          </w:tcPr>
          <w:p w14:paraId="2817D518" w14:textId="77777777" w:rsidR="00580E8E" w:rsidRPr="00580E8E" w:rsidRDefault="00580E8E" w:rsidP="00580E8E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cstheme="minorHAnsi"/>
              </w:rPr>
            </w:pPr>
          </w:p>
        </w:tc>
        <w:tc>
          <w:tcPr>
            <w:tcW w:w="1087" w:type="dxa"/>
          </w:tcPr>
          <w:p w14:paraId="3556CC24" w14:textId="5E672F93" w:rsidR="00580E8E" w:rsidRDefault="00AF1284" w:rsidP="00E8209D">
            <w:pPr>
              <w:rPr>
                <w:rFonts w:cstheme="minorHAnsi"/>
              </w:rPr>
            </w:pPr>
            <w:r>
              <w:rPr>
                <w:rFonts w:cstheme="minorHAnsi"/>
              </w:rPr>
              <w:t>Ministerstwo Sprawiedliwości</w:t>
            </w:r>
          </w:p>
        </w:tc>
        <w:tc>
          <w:tcPr>
            <w:tcW w:w="2385" w:type="dxa"/>
          </w:tcPr>
          <w:p w14:paraId="5DE2536C" w14:textId="1DBC8E91" w:rsidR="00580E8E" w:rsidRDefault="008013B2" w:rsidP="00E8209D">
            <w:pPr>
              <w:rPr>
                <w:rFonts w:cstheme="minorHAnsi"/>
              </w:rPr>
            </w:pPr>
            <w:r>
              <w:rPr>
                <w:rFonts w:cstheme="minorHAnsi"/>
              </w:rPr>
              <w:t>Uwaga ogólna</w:t>
            </w:r>
          </w:p>
        </w:tc>
        <w:tc>
          <w:tcPr>
            <w:tcW w:w="6424" w:type="dxa"/>
          </w:tcPr>
          <w:p w14:paraId="5B6F4870" w14:textId="12B2E50D" w:rsidR="00AF1284" w:rsidRPr="00AF1284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 xml:space="preserve">W związku z przekazanym do uzgodnień projektem rozporządzenia Ministra Cyfryzacji w sprawie zmiany rozporządzenia zmieniającego rozporządzenie w sprawie </w:t>
            </w:r>
            <w:r w:rsidRPr="00AF1284">
              <w:rPr>
                <w:rFonts w:cstheme="minorHAnsi"/>
              </w:rPr>
              <w:lastRenderedPageBreak/>
              <w:t>udzielania pomocy na rozwój infrastruktury szerokopasmowej w ramach Krajowego Planu Odbudowy i Zwiększania Odporności, uprzejmie informuję, że Ministerstwo Sprawiedliwości nie zgłasza uwag merytorycznych do projektu.</w:t>
            </w:r>
          </w:p>
          <w:p w14:paraId="573ADB16" w14:textId="77777777" w:rsidR="00AF1284" w:rsidRPr="00AF1284" w:rsidRDefault="00AF1284" w:rsidP="00AF1284">
            <w:pPr>
              <w:rPr>
                <w:rFonts w:cstheme="minorHAnsi"/>
              </w:rPr>
            </w:pPr>
          </w:p>
          <w:p w14:paraId="4EA747FA" w14:textId="07F3B223" w:rsidR="00580E8E" w:rsidRPr="00AF1284" w:rsidRDefault="00AF1284" w:rsidP="00AF1284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t>Natomiast odnosząc się do ceny skutków regulacji, w punkcie 7. należałoby omówić wpływ na przedsiębiorców telekomunikacyjnych.</w:t>
            </w:r>
          </w:p>
        </w:tc>
        <w:tc>
          <w:tcPr>
            <w:tcW w:w="3314" w:type="dxa"/>
          </w:tcPr>
          <w:p w14:paraId="546C17DE" w14:textId="77777777" w:rsidR="00580E8E" w:rsidRPr="00AF1284" w:rsidRDefault="00AF1284" w:rsidP="00E8209D">
            <w:pPr>
              <w:rPr>
                <w:rFonts w:cstheme="minorHAnsi"/>
                <w:b/>
                <w:bCs/>
              </w:rPr>
            </w:pPr>
            <w:r w:rsidRPr="00AF1284">
              <w:rPr>
                <w:rFonts w:cstheme="minorHAnsi"/>
                <w:b/>
                <w:bCs/>
              </w:rPr>
              <w:lastRenderedPageBreak/>
              <w:t>Uwaga uwzględniona</w:t>
            </w:r>
          </w:p>
          <w:p w14:paraId="14D103B2" w14:textId="77777777" w:rsidR="00AF1284" w:rsidRPr="00AF1284" w:rsidRDefault="00AF1284" w:rsidP="00E8209D">
            <w:pPr>
              <w:rPr>
                <w:rFonts w:cstheme="minorHAnsi"/>
              </w:rPr>
            </w:pPr>
          </w:p>
          <w:p w14:paraId="02811153" w14:textId="3D006CA7" w:rsidR="00AF1284" w:rsidRPr="00AF1284" w:rsidRDefault="00AF1284" w:rsidP="00E8209D">
            <w:pPr>
              <w:rPr>
                <w:rFonts w:cstheme="minorHAnsi"/>
              </w:rPr>
            </w:pPr>
            <w:r w:rsidRPr="00AF1284">
              <w:rPr>
                <w:rFonts w:cstheme="minorHAnsi"/>
              </w:rPr>
              <w:lastRenderedPageBreak/>
              <w:t xml:space="preserve">Pkt 7 Oceny </w:t>
            </w:r>
            <w:r w:rsidR="0054283C">
              <w:rPr>
                <w:rFonts w:cstheme="minorHAnsi"/>
              </w:rPr>
              <w:t>S</w:t>
            </w:r>
            <w:r w:rsidRPr="00AF1284">
              <w:rPr>
                <w:rFonts w:cstheme="minorHAnsi"/>
              </w:rPr>
              <w:t>kutków Regulacji został uzupełniony o informacje o wpływie nowych regulacji na przedsiębiorców telekomunikacyjnych.</w:t>
            </w:r>
          </w:p>
        </w:tc>
      </w:tr>
    </w:tbl>
    <w:p w14:paraId="205655D4" w14:textId="3D8A5F57" w:rsidR="001B0E08" w:rsidRPr="002A3D9D" w:rsidRDefault="001B0E08" w:rsidP="00D45C28">
      <w:pPr>
        <w:ind w:left="567"/>
        <w:rPr>
          <w:rFonts w:cstheme="minorHAnsi"/>
        </w:rPr>
      </w:pPr>
    </w:p>
    <w:sectPr w:rsidR="001B0E08" w:rsidRPr="002A3D9D" w:rsidSect="00A731A8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3F76A" w14:textId="77777777" w:rsidR="00A731A8" w:rsidRDefault="00A731A8" w:rsidP="00C27301">
      <w:pPr>
        <w:spacing w:after="0" w:line="240" w:lineRule="auto"/>
      </w:pPr>
      <w:r>
        <w:separator/>
      </w:r>
    </w:p>
  </w:endnote>
  <w:endnote w:type="continuationSeparator" w:id="0">
    <w:p w14:paraId="374D3879" w14:textId="77777777" w:rsidR="00A731A8" w:rsidRDefault="00A731A8" w:rsidP="00C27301">
      <w:pPr>
        <w:spacing w:after="0" w:line="240" w:lineRule="auto"/>
      </w:pPr>
      <w:r>
        <w:continuationSeparator/>
      </w:r>
    </w:p>
  </w:endnote>
  <w:endnote w:type="continuationNotice" w:id="1">
    <w:p w14:paraId="439F16AE" w14:textId="77777777" w:rsidR="00A731A8" w:rsidRDefault="00A731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110901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DF2952F" w14:textId="13E6F092" w:rsidR="00504557" w:rsidRDefault="0050455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27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A83104" w14:textId="77777777" w:rsidR="00504557" w:rsidRDefault="0050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AA9E1" w14:textId="77777777" w:rsidR="00A731A8" w:rsidRDefault="00A731A8" w:rsidP="00C27301">
      <w:pPr>
        <w:spacing w:after="0" w:line="240" w:lineRule="auto"/>
      </w:pPr>
      <w:r>
        <w:separator/>
      </w:r>
    </w:p>
  </w:footnote>
  <w:footnote w:type="continuationSeparator" w:id="0">
    <w:p w14:paraId="0CEFD18B" w14:textId="77777777" w:rsidR="00A731A8" w:rsidRDefault="00A731A8" w:rsidP="00C27301">
      <w:pPr>
        <w:spacing w:after="0" w:line="240" w:lineRule="auto"/>
      </w:pPr>
      <w:r>
        <w:continuationSeparator/>
      </w:r>
    </w:p>
  </w:footnote>
  <w:footnote w:type="continuationNotice" w:id="1">
    <w:p w14:paraId="159D7F26" w14:textId="77777777" w:rsidR="00A731A8" w:rsidRDefault="00A731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DD3DB" w14:textId="14CFF483" w:rsidR="00504557" w:rsidRDefault="00504557">
    <w:pPr>
      <w:pStyle w:val="Nagwek"/>
    </w:pPr>
    <w:r>
      <w:t xml:space="preserve">Tabela uwag zgłoszonych w ramach </w:t>
    </w:r>
    <w:r w:rsidR="006B2E4F">
      <w:t>uzgodnień</w:t>
    </w:r>
    <w:r>
      <w:t xml:space="preserve"> projektu </w:t>
    </w:r>
    <w:r w:rsidR="00606A5A" w:rsidRPr="002E42B1">
      <w:rPr>
        <w:rFonts w:cstheme="minorHAnsi"/>
      </w:rPr>
      <w:t>rozporządzenia</w:t>
    </w:r>
    <w:r w:rsidR="009E53F6">
      <w:rPr>
        <w:rFonts w:cstheme="minorHAnsi"/>
      </w:rPr>
      <w:t xml:space="preserve"> </w:t>
    </w:r>
    <w:r w:rsidR="006A498B">
      <w:rPr>
        <w:rFonts w:cstheme="minorHAnsi"/>
      </w:rPr>
      <w:t xml:space="preserve">Ministra Cyfryzacji </w:t>
    </w:r>
    <w:r w:rsidR="003322AB" w:rsidRPr="003322AB">
      <w:rPr>
        <w:rFonts w:cstheme="minorHAnsi"/>
      </w:rPr>
      <w:t>w sprawie zmiany rozporządzenia zmieniającego rozporządzenie w sprawie udzielania pomocy na rozwój infrastruktury szerokopasmowej w ramach Krajowego Planu Odbudowy i Zwiększania Odporności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C0C0A"/>
    <w:multiLevelType w:val="hybridMultilevel"/>
    <w:tmpl w:val="3E18A6E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0421AC"/>
    <w:multiLevelType w:val="hybridMultilevel"/>
    <w:tmpl w:val="FDD8F27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726A6B"/>
    <w:multiLevelType w:val="hybridMultilevel"/>
    <w:tmpl w:val="913E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47195"/>
    <w:multiLevelType w:val="hybridMultilevel"/>
    <w:tmpl w:val="B346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A6A9F"/>
    <w:multiLevelType w:val="hybridMultilevel"/>
    <w:tmpl w:val="6670514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5292F9C"/>
    <w:multiLevelType w:val="hybridMultilevel"/>
    <w:tmpl w:val="D330871E"/>
    <w:lvl w:ilvl="0" w:tplc="2C9488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52C1"/>
    <w:multiLevelType w:val="hybridMultilevel"/>
    <w:tmpl w:val="DA520FA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AAF7017"/>
    <w:multiLevelType w:val="hybridMultilevel"/>
    <w:tmpl w:val="CA92CB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C55A3E"/>
    <w:multiLevelType w:val="hybridMultilevel"/>
    <w:tmpl w:val="25ACA778"/>
    <w:lvl w:ilvl="0" w:tplc="66EC0A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72ADE"/>
    <w:multiLevelType w:val="hybridMultilevel"/>
    <w:tmpl w:val="925EA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A0831"/>
    <w:multiLevelType w:val="hybridMultilevel"/>
    <w:tmpl w:val="C8A6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62A7E"/>
    <w:multiLevelType w:val="hybridMultilevel"/>
    <w:tmpl w:val="913E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3C4D73"/>
    <w:multiLevelType w:val="hybridMultilevel"/>
    <w:tmpl w:val="3CF87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520544">
    <w:abstractNumId w:val="5"/>
  </w:num>
  <w:num w:numId="2" w16cid:durableId="1929535794">
    <w:abstractNumId w:val="9"/>
  </w:num>
  <w:num w:numId="3" w16cid:durableId="1436099325">
    <w:abstractNumId w:val="10"/>
  </w:num>
  <w:num w:numId="4" w16cid:durableId="1611006342">
    <w:abstractNumId w:val="8"/>
  </w:num>
  <w:num w:numId="5" w16cid:durableId="1750540100">
    <w:abstractNumId w:val="7"/>
  </w:num>
  <w:num w:numId="6" w16cid:durableId="1373383778">
    <w:abstractNumId w:val="0"/>
  </w:num>
  <w:num w:numId="7" w16cid:durableId="1590233039">
    <w:abstractNumId w:val="4"/>
  </w:num>
  <w:num w:numId="8" w16cid:durableId="879823639">
    <w:abstractNumId w:val="1"/>
  </w:num>
  <w:num w:numId="9" w16cid:durableId="1514497264">
    <w:abstractNumId w:val="6"/>
  </w:num>
  <w:num w:numId="10" w16cid:durableId="2068528220">
    <w:abstractNumId w:val="2"/>
  </w:num>
  <w:num w:numId="11" w16cid:durableId="626550400">
    <w:abstractNumId w:val="11"/>
  </w:num>
  <w:num w:numId="12" w16cid:durableId="1523132095">
    <w:abstractNumId w:val="12"/>
  </w:num>
  <w:num w:numId="13" w16cid:durableId="2127237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7B"/>
    <w:rsid w:val="000118C9"/>
    <w:rsid w:val="00037C15"/>
    <w:rsid w:val="000704E9"/>
    <w:rsid w:val="00081348"/>
    <w:rsid w:val="000865BB"/>
    <w:rsid w:val="00097F65"/>
    <w:rsid w:val="000C49E9"/>
    <w:rsid w:val="000D0566"/>
    <w:rsid w:val="000E1E65"/>
    <w:rsid w:val="000F12B9"/>
    <w:rsid w:val="001459AA"/>
    <w:rsid w:val="00155ACC"/>
    <w:rsid w:val="00156EBF"/>
    <w:rsid w:val="00170829"/>
    <w:rsid w:val="001A2137"/>
    <w:rsid w:val="001B0E08"/>
    <w:rsid w:val="001B39ED"/>
    <w:rsid w:val="001B6A6C"/>
    <w:rsid w:val="001E6847"/>
    <w:rsid w:val="001F71A8"/>
    <w:rsid w:val="00206184"/>
    <w:rsid w:val="00206376"/>
    <w:rsid w:val="00207DE1"/>
    <w:rsid w:val="00216012"/>
    <w:rsid w:val="002306AD"/>
    <w:rsid w:val="00263E15"/>
    <w:rsid w:val="00274F7D"/>
    <w:rsid w:val="002A3D9D"/>
    <w:rsid w:val="002B03A9"/>
    <w:rsid w:val="002D004A"/>
    <w:rsid w:val="002D2110"/>
    <w:rsid w:val="002D65F7"/>
    <w:rsid w:val="002E54AF"/>
    <w:rsid w:val="002F2908"/>
    <w:rsid w:val="002F689E"/>
    <w:rsid w:val="003107F9"/>
    <w:rsid w:val="003322AB"/>
    <w:rsid w:val="0034025C"/>
    <w:rsid w:val="0034307F"/>
    <w:rsid w:val="00364E2E"/>
    <w:rsid w:val="00367F22"/>
    <w:rsid w:val="0037396A"/>
    <w:rsid w:val="00377131"/>
    <w:rsid w:val="003817F9"/>
    <w:rsid w:val="0038393A"/>
    <w:rsid w:val="003B712B"/>
    <w:rsid w:val="003B76DC"/>
    <w:rsid w:val="003E2918"/>
    <w:rsid w:val="003F4DC3"/>
    <w:rsid w:val="004061FD"/>
    <w:rsid w:val="00407F6E"/>
    <w:rsid w:val="00410E9E"/>
    <w:rsid w:val="0042240D"/>
    <w:rsid w:val="00432C25"/>
    <w:rsid w:val="00450D00"/>
    <w:rsid w:val="004A431E"/>
    <w:rsid w:val="004B7BFD"/>
    <w:rsid w:val="004C1399"/>
    <w:rsid w:val="004D105D"/>
    <w:rsid w:val="004D19D6"/>
    <w:rsid w:val="004D1B83"/>
    <w:rsid w:val="004D4A28"/>
    <w:rsid w:val="004E053B"/>
    <w:rsid w:val="004E2BC7"/>
    <w:rsid w:val="00504557"/>
    <w:rsid w:val="005077EF"/>
    <w:rsid w:val="00527D80"/>
    <w:rsid w:val="0054283C"/>
    <w:rsid w:val="005436B0"/>
    <w:rsid w:val="0056489A"/>
    <w:rsid w:val="00571A02"/>
    <w:rsid w:val="00573FFE"/>
    <w:rsid w:val="00576EAA"/>
    <w:rsid w:val="005776A8"/>
    <w:rsid w:val="00580E8E"/>
    <w:rsid w:val="005B3924"/>
    <w:rsid w:val="005B44BC"/>
    <w:rsid w:val="005C323B"/>
    <w:rsid w:val="005C726E"/>
    <w:rsid w:val="005E0B4A"/>
    <w:rsid w:val="005E1601"/>
    <w:rsid w:val="005E7728"/>
    <w:rsid w:val="006001A7"/>
    <w:rsid w:val="00601913"/>
    <w:rsid w:val="00606A5A"/>
    <w:rsid w:val="00624A53"/>
    <w:rsid w:val="006265DF"/>
    <w:rsid w:val="0063689A"/>
    <w:rsid w:val="006507BE"/>
    <w:rsid w:val="0065391B"/>
    <w:rsid w:val="006558A6"/>
    <w:rsid w:val="00656291"/>
    <w:rsid w:val="00677C3C"/>
    <w:rsid w:val="006A498B"/>
    <w:rsid w:val="006B2E4F"/>
    <w:rsid w:val="006F34FA"/>
    <w:rsid w:val="006F35E3"/>
    <w:rsid w:val="006F773B"/>
    <w:rsid w:val="0070329D"/>
    <w:rsid w:val="00704421"/>
    <w:rsid w:val="0070498A"/>
    <w:rsid w:val="00711A7F"/>
    <w:rsid w:val="00716271"/>
    <w:rsid w:val="007350D1"/>
    <w:rsid w:val="0074653E"/>
    <w:rsid w:val="00776291"/>
    <w:rsid w:val="007878F5"/>
    <w:rsid w:val="00797F9D"/>
    <w:rsid w:val="007B3B28"/>
    <w:rsid w:val="007B6071"/>
    <w:rsid w:val="007C1518"/>
    <w:rsid w:val="007E1D0A"/>
    <w:rsid w:val="007E25C4"/>
    <w:rsid w:val="007E27DB"/>
    <w:rsid w:val="008013B2"/>
    <w:rsid w:val="0082107B"/>
    <w:rsid w:val="00823E57"/>
    <w:rsid w:val="0083756D"/>
    <w:rsid w:val="00863FAD"/>
    <w:rsid w:val="00867EF1"/>
    <w:rsid w:val="00875C61"/>
    <w:rsid w:val="00891C27"/>
    <w:rsid w:val="008A4897"/>
    <w:rsid w:val="008B7D55"/>
    <w:rsid w:val="008E4381"/>
    <w:rsid w:val="008E5E8F"/>
    <w:rsid w:val="008F10DE"/>
    <w:rsid w:val="008F2809"/>
    <w:rsid w:val="008F7238"/>
    <w:rsid w:val="00920467"/>
    <w:rsid w:val="00937913"/>
    <w:rsid w:val="00941CFE"/>
    <w:rsid w:val="009423D4"/>
    <w:rsid w:val="009501DB"/>
    <w:rsid w:val="009541A2"/>
    <w:rsid w:val="00964356"/>
    <w:rsid w:val="00964ADE"/>
    <w:rsid w:val="0096508A"/>
    <w:rsid w:val="00966CDD"/>
    <w:rsid w:val="00967BFB"/>
    <w:rsid w:val="00995206"/>
    <w:rsid w:val="009A3B40"/>
    <w:rsid w:val="009A7ECF"/>
    <w:rsid w:val="009B3293"/>
    <w:rsid w:val="009B38DB"/>
    <w:rsid w:val="009E21AF"/>
    <w:rsid w:val="009E53F6"/>
    <w:rsid w:val="00A175BA"/>
    <w:rsid w:val="00A35188"/>
    <w:rsid w:val="00A369F9"/>
    <w:rsid w:val="00A461DF"/>
    <w:rsid w:val="00A50180"/>
    <w:rsid w:val="00A512D7"/>
    <w:rsid w:val="00A731A8"/>
    <w:rsid w:val="00A830EC"/>
    <w:rsid w:val="00A939D7"/>
    <w:rsid w:val="00AB0F68"/>
    <w:rsid w:val="00AB2846"/>
    <w:rsid w:val="00AD2FB3"/>
    <w:rsid w:val="00AE3323"/>
    <w:rsid w:val="00AF1284"/>
    <w:rsid w:val="00AF5537"/>
    <w:rsid w:val="00B01A5C"/>
    <w:rsid w:val="00B03916"/>
    <w:rsid w:val="00B04B29"/>
    <w:rsid w:val="00B05394"/>
    <w:rsid w:val="00B05BDB"/>
    <w:rsid w:val="00B37782"/>
    <w:rsid w:val="00B517C5"/>
    <w:rsid w:val="00B83344"/>
    <w:rsid w:val="00BA5088"/>
    <w:rsid w:val="00BC09FF"/>
    <w:rsid w:val="00BD5827"/>
    <w:rsid w:val="00BE431F"/>
    <w:rsid w:val="00BE72B1"/>
    <w:rsid w:val="00C27301"/>
    <w:rsid w:val="00C30588"/>
    <w:rsid w:val="00C404F1"/>
    <w:rsid w:val="00C808D8"/>
    <w:rsid w:val="00CB4A6B"/>
    <w:rsid w:val="00CB6E20"/>
    <w:rsid w:val="00CB795F"/>
    <w:rsid w:val="00CC0700"/>
    <w:rsid w:val="00CC2E57"/>
    <w:rsid w:val="00CD2E49"/>
    <w:rsid w:val="00CD678A"/>
    <w:rsid w:val="00CE3EDD"/>
    <w:rsid w:val="00D0190D"/>
    <w:rsid w:val="00D13018"/>
    <w:rsid w:val="00D27898"/>
    <w:rsid w:val="00D306F5"/>
    <w:rsid w:val="00D33C2B"/>
    <w:rsid w:val="00D45C28"/>
    <w:rsid w:val="00D469E2"/>
    <w:rsid w:val="00D51B7C"/>
    <w:rsid w:val="00D6360F"/>
    <w:rsid w:val="00D65D15"/>
    <w:rsid w:val="00D7702A"/>
    <w:rsid w:val="00D83172"/>
    <w:rsid w:val="00D9780E"/>
    <w:rsid w:val="00D97947"/>
    <w:rsid w:val="00DA2888"/>
    <w:rsid w:val="00DB18BC"/>
    <w:rsid w:val="00DC6FFF"/>
    <w:rsid w:val="00DE7F6F"/>
    <w:rsid w:val="00DF7C44"/>
    <w:rsid w:val="00E16259"/>
    <w:rsid w:val="00E31381"/>
    <w:rsid w:val="00E366FB"/>
    <w:rsid w:val="00E4068B"/>
    <w:rsid w:val="00E546F1"/>
    <w:rsid w:val="00E77B73"/>
    <w:rsid w:val="00E817A8"/>
    <w:rsid w:val="00E8209D"/>
    <w:rsid w:val="00E842F7"/>
    <w:rsid w:val="00E85458"/>
    <w:rsid w:val="00EB22BE"/>
    <w:rsid w:val="00EC67DB"/>
    <w:rsid w:val="00ED27F5"/>
    <w:rsid w:val="00ED2BAF"/>
    <w:rsid w:val="00EE4E16"/>
    <w:rsid w:val="00EF7453"/>
    <w:rsid w:val="00EF7DB3"/>
    <w:rsid w:val="00F13355"/>
    <w:rsid w:val="00F35B43"/>
    <w:rsid w:val="00F433ED"/>
    <w:rsid w:val="00FA70DB"/>
    <w:rsid w:val="00FB6A70"/>
    <w:rsid w:val="00FC2913"/>
    <w:rsid w:val="00FC3DB7"/>
    <w:rsid w:val="00FD3790"/>
    <w:rsid w:val="00FF75C7"/>
    <w:rsid w:val="16E072C4"/>
    <w:rsid w:val="1FECE98F"/>
    <w:rsid w:val="202CA07C"/>
    <w:rsid w:val="2E5EDCE2"/>
    <w:rsid w:val="3755B295"/>
    <w:rsid w:val="413793B8"/>
    <w:rsid w:val="481C49FC"/>
    <w:rsid w:val="49D56722"/>
    <w:rsid w:val="522E599B"/>
    <w:rsid w:val="654B62F2"/>
    <w:rsid w:val="6B5CAC57"/>
    <w:rsid w:val="6EC2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FAB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FF"/>
  </w:style>
  <w:style w:type="paragraph" w:styleId="Nagwek1">
    <w:name w:val="heading 1"/>
    <w:basedOn w:val="Normalny"/>
    <w:next w:val="Normalny"/>
    <w:link w:val="Nagwek1Znak"/>
    <w:qFormat/>
    <w:rsid w:val="005C323B"/>
    <w:pPr>
      <w:keepNext/>
      <w:spacing w:after="0" w:line="240" w:lineRule="auto"/>
      <w:jc w:val="both"/>
      <w:outlineLvl w:val="0"/>
    </w:pPr>
    <w:rPr>
      <w:rFonts w:eastAsia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1E6847"/>
    <w:pPr>
      <w:keepNext/>
      <w:spacing w:after="0" w:line="240" w:lineRule="auto"/>
      <w:jc w:val="center"/>
      <w:outlineLvl w:val="1"/>
    </w:pPr>
    <w:rPr>
      <w:rFonts w:eastAsia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323B"/>
    <w:rPr>
      <w:rFonts w:eastAsia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E6847"/>
    <w:rPr>
      <w:rFonts w:eastAsia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82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107B"/>
    <w:pPr>
      <w:spacing w:line="252" w:lineRule="auto"/>
      <w:ind w:left="720"/>
      <w:contextualSpacing/>
    </w:pPr>
    <w:rPr>
      <w:rFonts w:ascii="Calibri" w:hAnsi="Calibri" w:cs="Calibri"/>
    </w:rPr>
  </w:style>
  <w:style w:type="paragraph" w:customStyle="1" w:styleId="ZROZDZODDZOZNzmoznrozdzoddzartykuempunktem">
    <w:name w:val="Z/ROZDZ(ODDZ)_OZN – zm. ozn. rozdz. (oddz.) artykułem (punktem)"/>
    <w:next w:val="Normalny"/>
    <w:uiPriority w:val="29"/>
    <w:qFormat/>
    <w:rsid w:val="0082107B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2107B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2107B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82107B"/>
  </w:style>
  <w:style w:type="paragraph" w:customStyle="1" w:styleId="ZLITzmlitartykuempunktem">
    <w:name w:val="Z/LIT – zm. lit. artykułem (punktem)"/>
    <w:basedOn w:val="Normalny"/>
    <w:uiPriority w:val="32"/>
    <w:qFormat/>
    <w:rsid w:val="0082107B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423D4"/>
    <w:rPr>
      <w:b w:val="0"/>
      <w:i w:val="0"/>
      <w:vanish w:val="0"/>
      <w:spacing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36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7F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F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7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F2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301"/>
  </w:style>
  <w:style w:type="paragraph" w:styleId="Stopka">
    <w:name w:val="footer"/>
    <w:basedOn w:val="Normalny"/>
    <w:link w:val="StopkaZnak"/>
    <w:uiPriority w:val="99"/>
    <w:unhideWhenUsed/>
    <w:rsid w:val="00C27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3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7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7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72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1601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7D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7DE1"/>
    <w:rPr>
      <w:vertAlign w:val="superscript"/>
    </w:rPr>
  </w:style>
  <w:style w:type="paragraph" w:styleId="Poprawka">
    <w:name w:val="Revision"/>
    <w:hidden/>
    <w:uiPriority w:val="99"/>
    <w:semiHidden/>
    <w:rsid w:val="004E0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bf41241-5b92-4058-8568-013744b84d7f">
      <UserInfo>
        <DisplayName>Cieszyński Janusz</DisplayName>
        <AccountId>38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C58E7ED7D5FC42891179C030573E1E" ma:contentTypeVersion="6" ma:contentTypeDescription="Utwórz nowy dokument." ma:contentTypeScope="" ma:versionID="f2830368545cb974484c7230e940e644">
  <xsd:schema xmlns:xsd="http://www.w3.org/2001/XMLSchema" xmlns:xs="http://www.w3.org/2001/XMLSchema" xmlns:p="http://schemas.microsoft.com/office/2006/metadata/properties" xmlns:ns2="8ec367dd-d5af-4f47-bdf8-5556732963d4" xmlns:ns3="0bf41241-5b92-4058-8568-013744b84d7f" targetNamespace="http://schemas.microsoft.com/office/2006/metadata/properties" ma:root="true" ma:fieldsID="78d53edaa35e8bbcd26750432d20f92b" ns2:_="" ns3:_="">
    <xsd:import namespace="8ec367dd-d5af-4f47-bdf8-5556732963d4"/>
    <xsd:import namespace="0bf41241-5b92-4058-8568-013744b84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367dd-d5af-4f47-bdf8-555673296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41241-5b92-4058-8568-013744b84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DB01AE-5C0D-4F84-92B7-9C56E2F40A56}">
  <ds:schemaRefs>
    <ds:schemaRef ds:uri="http://schemas.microsoft.com/office/2006/metadata/properties"/>
    <ds:schemaRef ds:uri="http://schemas.microsoft.com/office/infopath/2007/PartnerControls"/>
    <ds:schemaRef ds:uri="0bf41241-5b92-4058-8568-013744b84d7f"/>
  </ds:schemaRefs>
</ds:datastoreItem>
</file>

<file path=customXml/itemProps2.xml><?xml version="1.0" encoding="utf-8"?>
<ds:datastoreItem xmlns:ds="http://schemas.openxmlformats.org/officeDocument/2006/customXml" ds:itemID="{849CE83E-8513-47DE-9634-F5F23FFF7F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EC717-5A55-4DC1-BE26-0677F989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c367dd-d5af-4f47-bdf8-5556732963d4"/>
    <ds:schemaRef ds:uri="0bf41241-5b92-4058-8568-013744b84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392D6C-70A3-48D4-A1CE-AD6C90A15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2024-03-18T12:15:00Z</dcterms:created>
  <dcterms:modified xsi:type="dcterms:W3CDTF">2024-03-24T19:54:00Z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0x010100D2C58E7ED7D5FC42891179C030573E1E</vt:lpwstr>
  </property>
</Properties>
</file>